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8C44" w14:textId="45715778" w:rsidR="007A63A4" w:rsidRPr="00B542F5" w:rsidRDefault="00561339" w:rsidP="00B542F5">
      <w:pPr>
        <w:pStyle w:val="Titel"/>
        <w:spacing w:after="240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Team </w:t>
      </w:r>
      <w:r w:rsidR="00201CBD">
        <w:rPr>
          <w:rFonts w:eastAsia="Times New Roman"/>
          <w:sz w:val="48"/>
          <w:szCs w:val="48"/>
        </w:rPr>
        <w:t>Sundhedsrehabilitering -</w:t>
      </w:r>
      <w:r w:rsidR="00D915D8">
        <w:rPr>
          <w:rFonts w:eastAsia="Times New Roman"/>
          <w:sz w:val="48"/>
          <w:szCs w:val="48"/>
        </w:rPr>
        <w:t xml:space="preserve"> </w:t>
      </w:r>
      <w:r w:rsidR="00B307C1">
        <w:rPr>
          <w:rFonts w:eastAsia="Times New Roman"/>
          <w:sz w:val="48"/>
          <w:szCs w:val="48"/>
        </w:rPr>
        <w:t>Spørgsmål og svar til Nexus og FS3</w:t>
      </w:r>
    </w:p>
    <w:p w14:paraId="7C3DBAF5" w14:textId="77777777" w:rsidR="006C2FFD" w:rsidRDefault="006C2FFD" w:rsidP="006C2FFD">
      <w:pPr>
        <w:spacing w:after="120"/>
        <w:jc w:val="both"/>
        <w:rPr>
          <w:rFonts w:ascii="Verdana" w:hAnsi="Verdana"/>
          <w:sz w:val="20"/>
          <w:szCs w:val="20"/>
        </w:rPr>
      </w:pPr>
    </w:p>
    <w:p w14:paraId="299CD301" w14:textId="6552938F" w:rsidR="00D915D8" w:rsidRDefault="00D915D8" w:rsidP="006C2FF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Hvad skal jeg gøre hvis en </w:t>
      </w:r>
      <w:r w:rsidR="00201CBD">
        <w:rPr>
          <w:rFonts w:ascii="Verdana" w:hAnsi="Verdana"/>
          <w:b/>
          <w:bCs/>
          <w:sz w:val="20"/>
          <w:szCs w:val="20"/>
        </w:rPr>
        <w:t>behovssamtale</w:t>
      </w:r>
      <w:r>
        <w:rPr>
          <w:rFonts w:ascii="Verdana" w:hAnsi="Verdana"/>
          <w:b/>
          <w:bCs/>
          <w:sz w:val="20"/>
          <w:szCs w:val="20"/>
        </w:rPr>
        <w:t xml:space="preserve"> ender med at være en afsluttende </w:t>
      </w:r>
      <w:r w:rsidR="00201CBD">
        <w:rPr>
          <w:rFonts w:ascii="Verdana" w:hAnsi="Verdana"/>
          <w:b/>
          <w:bCs/>
          <w:sz w:val="20"/>
          <w:szCs w:val="20"/>
        </w:rPr>
        <w:t>samtale</w:t>
      </w:r>
      <w:r w:rsidR="00121EBF">
        <w:rPr>
          <w:rFonts w:ascii="Verdana" w:hAnsi="Verdana"/>
          <w:b/>
          <w:bCs/>
          <w:sz w:val="20"/>
          <w:szCs w:val="20"/>
        </w:rPr>
        <w:t xml:space="preserve"> eller omvendt</w:t>
      </w:r>
      <w:r>
        <w:rPr>
          <w:rFonts w:ascii="Verdana" w:hAnsi="Verdana"/>
          <w:b/>
          <w:bCs/>
          <w:sz w:val="20"/>
          <w:szCs w:val="20"/>
        </w:rPr>
        <w:t>?</w:t>
      </w:r>
    </w:p>
    <w:p w14:paraId="7378B57B" w14:textId="1AE155F0" w:rsidR="00D915D8" w:rsidRDefault="00D915D8" w:rsidP="00121EBF">
      <w:pPr>
        <w:pStyle w:val="Listeafsnit"/>
        <w:numPr>
          <w:ilvl w:val="0"/>
          <w:numId w:val="9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</w:t>
      </w:r>
      <w:r w:rsidR="00201CBD">
        <w:rPr>
          <w:rFonts w:ascii="Verdana" w:hAnsi="Verdana"/>
          <w:sz w:val="20"/>
          <w:szCs w:val="20"/>
        </w:rPr>
        <w:t xml:space="preserve">en behovssamtale </w:t>
      </w:r>
      <w:r>
        <w:rPr>
          <w:rFonts w:ascii="Verdana" w:hAnsi="Verdana"/>
          <w:sz w:val="20"/>
          <w:szCs w:val="20"/>
        </w:rPr>
        <w:t xml:space="preserve">ender med </w:t>
      </w:r>
      <w:r w:rsidR="00201CBD">
        <w:rPr>
          <w:rFonts w:ascii="Verdana" w:hAnsi="Verdana"/>
          <w:sz w:val="20"/>
          <w:szCs w:val="20"/>
        </w:rPr>
        <w:t>at være en afsluttende samtale</w:t>
      </w:r>
      <w:r w:rsidR="00121EBF">
        <w:rPr>
          <w:rFonts w:ascii="Verdana" w:hAnsi="Verdana"/>
          <w:sz w:val="20"/>
          <w:szCs w:val="20"/>
        </w:rPr>
        <w:t xml:space="preserve"> eller omvendt, så afkrydses den oprindelige aftale i kalenderen, og den rette indsats tildeles borger og </w:t>
      </w:r>
      <w:r w:rsidR="00121EBF" w:rsidRPr="00160E26">
        <w:rPr>
          <w:rFonts w:ascii="Verdana" w:hAnsi="Verdana"/>
          <w:sz w:val="20"/>
          <w:szCs w:val="20"/>
        </w:rPr>
        <w:t>planlægges i kalenderen.</w:t>
      </w:r>
    </w:p>
    <w:p w14:paraId="0903EB81" w14:textId="77777777" w:rsidR="00AA7527" w:rsidRDefault="00AA7527" w:rsidP="00AA7527">
      <w:pPr>
        <w:pStyle w:val="Listeafsnit"/>
        <w:spacing w:after="120"/>
        <w:jc w:val="both"/>
        <w:rPr>
          <w:rFonts w:ascii="Verdana" w:hAnsi="Verdana"/>
          <w:sz w:val="20"/>
          <w:szCs w:val="20"/>
        </w:rPr>
      </w:pPr>
    </w:p>
    <w:p w14:paraId="5671E39E" w14:textId="1D466FFD" w:rsidR="00AA7527" w:rsidRDefault="00AA7527" w:rsidP="00121EBF">
      <w:pPr>
        <w:pStyle w:val="Listeafsnit"/>
        <w:numPr>
          <w:ilvl w:val="0"/>
          <w:numId w:val="9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Vigtigt at huske på her, at tildelte indsatser kan altid søges frem, så hvis der tidligere f.eks. er givet en afsluttende samtale, som endte ud i en behovssamtale, så når borger skal have en afsluttende samtale, så skal i bare søge efter borgernavn i teamkalenderen, og trække den tidligere indsats ind i kalenderen.</w:t>
      </w:r>
    </w:p>
    <w:p w14:paraId="18A85451" w14:textId="77777777" w:rsidR="00121EBF" w:rsidRDefault="00121EBF" w:rsidP="00121EBF">
      <w:pPr>
        <w:pStyle w:val="Listeafsnit"/>
        <w:spacing w:after="120"/>
        <w:jc w:val="both"/>
        <w:rPr>
          <w:rFonts w:ascii="Verdana" w:hAnsi="Verdana"/>
          <w:sz w:val="20"/>
          <w:szCs w:val="20"/>
        </w:rPr>
      </w:pPr>
    </w:p>
    <w:p w14:paraId="18168A56" w14:textId="4A4470BD" w:rsidR="00D915D8" w:rsidRDefault="00D915D8" w:rsidP="00D915D8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Hvis min afsluttende </w:t>
      </w:r>
      <w:r w:rsidR="00201CBD">
        <w:rPr>
          <w:rFonts w:ascii="Verdana" w:hAnsi="Verdana"/>
          <w:b/>
          <w:bCs/>
          <w:sz w:val="20"/>
          <w:szCs w:val="20"/>
        </w:rPr>
        <w:t>samtale</w:t>
      </w:r>
      <w:r>
        <w:rPr>
          <w:rFonts w:ascii="Verdana" w:hAnsi="Verdana"/>
          <w:b/>
          <w:bCs/>
          <w:sz w:val="20"/>
          <w:szCs w:val="20"/>
        </w:rPr>
        <w:t xml:space="preserve"> er telefonisk?</w:t>
      </w:r>
    </w:p>
    <w:p w14:paraId="28C53A41" w14:textId="49B83E33" w:rsidR="00D915D8" w:rsidRPr="00D915D8" w:rsidRDefault="00D915D8" w:rsidP="00D915D8">
      <w:pPr>
        <w:pStyle w:val="Listeafsnit"/>
        <w:numPr>
          <w:ilvl w:val="0"/>
          <w:numId w:val="9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dette tilfælde vil du have oprettet planlægningsindsatsen telefonisk konsultation i kalenderen. Du vil s</w:t>
      </w:r>
      <w:r w:rsidR="00AA7527">
        <w:rPr>
          <w:rFonts w:ascii="Verdana" w:hAnsi="Verdana"/>
          <w:sz w:val="20"/>
          <w:szCs w:val="20"/>
        </w:rPr>
        <w:t>amtidig</w:t>
      </w:r>
      <w:r>
        <w:rPr>
          <w:rFonts w:ascii="Verdana" w:hAnsi="Verdana"/>
          <w:sz w:val="20"/>
          <w:szCs w:val="20"/>
        </w:rPr>
        <w:t xml:space="preserve"> give borgeren planlægningsindsatsen ”Afsluttende </w:t>
      </w:r>
      <w:r w:rsidR="00201CBD">
        <w:rPr>
          <w:rFonts w:ascii="Verdana" w:hAnsi="Verdana"/>
          <w:sz w:val="20"/>
          <w:szCs w:val="20"/>
        </w:rPr>
        <w:t>samtale</w:t>
      </w:r>
      <w:r>
        <w:rPr>
          <w:rFonts w:ascii="Verdana" w:hAnsi="Verdana"/>
          <w:sz w:val="20"/>
          <w:szCs w:val="20"/>
        </w:rPr>
        <w:t xml:space="preserve">”, </w:t>
      </w:r>
      <w:r w:rsidRPr="00160E26">
        <w:rPr>
          <w:rFonts w:ascii="Verdana" w:hAnsi="Verdana"/>
          <w:sz w:val="20"/>
          <w:szCs w:val="20"/>
        </w:rPr>
        <w:t>dog uden at trække det ind i kalendere</w:t>
      </w:r>
      <w:r w:rsidR="00160E26">
        <w:rPr>
          <w:rFonts w:ascii="Verdana" w:hAnsi="Verdana"/>
          <w:sz w:val="20"/>
          <w:szCs w:val="20"/>
        </w:rPr>
        <w:t>n</w:t>
      </w:r>
      <w:r w:rsidRPr="00160E26">
        <w:rPr>
          <w:rFonts w:ascii="Verdana" w:hAnsi="Verdana"/>
          <w:sz w:val="20"/>
          <w:szCs w:val="20"/>
        </w:rPr>
        <w:t xml:space="preserve">. </w:t>
      </w:r>
    </w:p>
    <w:p w14:paraId="38C2A099" w14:textId="77777777" w:rsidR="00D915D8" w:rsidRDefault="00D915D8" w:rsidP="006C2FF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14:paraId="3FBBA329" w14:textId="0CBF11B8" w:rsidR="006C2FFD" w:rsidRDefault="00D915D8" w:rsidP="006C2FF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D915D8">
        <w:rPr>
          <w:rFonts w:ascii="Verdana" w:hAnsi="Verdana"/>
          <w:b/>
          <w:bCs/>
          <w:sz w:val="20"/>
          <w:szCs w:val="20"/>
        </w:rPr>
        <w:t xml:space="preserve">Hvilke planlægningsindsatser skal jeg vælge, når borger skal anvende </w:t>
      </w:r>
      <w:r w:rsidR="00201CBD">
        <w:rPr>
          <w:rFonts w:ascii="Verdana" w:hAnsi="Verdana"/>
          <w:b/>
          <w:bCs/>
          <w:sz w:val="20"/>
          <w:szCs w:val="20"/>
        </w:rPr>
        <w:t>Det digitale sundhedscenter eller Tele-KOL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5A3BEBD2" w14:textId="238654F4" w:rsidR="00D915D8" w:rsidRPr="00D915D8" w:rsidRDefault="00D915D8" w:rsidP="006C2FFD">
      <w:pPr>
        <w:spacing w:after="120"/>
        <w:jc w:val="both"/>
        <w:rPr>
          <w:rFonts w:ascii="Verdana" w:hAnsi="Verdana"/>
          <w:i/>
          <w:iCs/>
          <w:color w:val="3B3838" w:themeColor="background2" w:themeShade="40"/>
          <w:sz w:val="20"/>
          <w:szCs w:val="20"/>
        </w:rPr>
      </w:pPr>
      <w:r w:rsidRPr="00D915D8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Nedenstående eksempler tager udgangspunkt i </w:t>
      </w:r>
      <w:proofErr w:type="gramStart"/>
      <w:r w:rsidR="00201CBD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>det digital sundhedscenter</w:t>
      </w:r>
      <w:proofErr w:type="gramEnd"/>
      <w:r w:rsidRPr="00D915D8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, men det samme gør sig gældende for </w:t>
      </w:r>
      <w:r w:rsidR="00201CBD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>Tele-KOL</w:t>
      </w:r>
      <w:r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>,</w:t>
      </w:r>
      <w:r w:rsidRPr="00D915D8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 blot med de</w:t>
      </w:r>
      <w:r w:rsidR="00201CBD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>t</w:t>
      </w:r>
      <w:r w:rsidRPr="00D915D8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 navn foran</w:t>
      </w:r>
      <w:r w:rsidR="00201CBD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 opstart,</w:t>
      </w:r>
      <w:r w:rsidRPr="00D915D8">
        <w:rPr>
          <w:rFonts w:ascii="Verdana" w:hAnsi="Verdana"/>
          <w:i/>
          <w:iCs/>
          <w:color w:val="3B3838" w:themeColor="background2" w:themeShade="40"/>
          <w:sz w:val="20"/>
          <w:szCs w:val="20"/>
        </w:rPr>
        <w:t xml:space="preserve"> individuelt og afslutning</w:t>
      </w:r>
    </w:p>
    <w:p w14:paraId="31F394F0" w14:textId="23B45696" w:rsidR="00D915D8" w:rsidRDefault="00D915D8" w:rsidP="00D915D8">
      <w:pPr>
        <w:pStyle w:val="Listeafsni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din borger efter den</w:t>
      </w:r>
      <w:r w:rsidR="00201CBD">
        <w:rPr>
          <w:rFonts w:ascii="Verdana" w:hAnsi="Verdana"/>
          <w:sz w:val="20"/>
          <w:szCs w:val="20"/>
        </w:rPr>
        <w:t xml:space="preserve"> afklarende samtale</w:t>
      </w:r>
      <w:r>
        <w:rPr>
          <w:rFonts w:ascii="Verdana" w:hAnsi="Verdana"/>
          <w:sz w:val="20"/>
          <w:szCs w:val="20"/>
        </w:rPr>
        <w:t xml:space="preserve"> </w:t>
      </w:r>
      <w:r w:rsidR="00201CBD">
        <w:rPr>
          <w:rFonts w:ascii="Verdana" w:hAnsi="Verdana"/>
          <w:sz w:val="20"/>
          <w:szCs w:val="20"/>
        </w:rPr>
        <w:t xml:space="preserve">skal </w:t>
      </w:r>
      <w:r>
        <w:rPr>
          <w:rFonts w:ascii="Verdana" w:hAnsi="Verdana"/>
          <w:sz w:val="20"/>
          <w:szCs w:val="20"/>
        </w:rPr>
        <w:t>opstartes i</w:t>
      </w:r>
      <w:r w:rsidR="00201CBD">
        <w:rPr>
          <w:rFonts w:ascii="Verdana" w:hAnsi="Verdana"/>
          <w:sz w:val="20"/>
          <w:szCs w:val="20"/>
        </w:rPr>
        <w:t xml:space="preserve"> det Digitale Sundhedscenter</w:t>
      </w:r>
      <w:r>
        <w:rPr>
          <w:rFonts w:ascii="Verdana" w:hAnsi="Verdana"/>
          <w:sz w:val="20"/>
          <w:szCs w:val="20"/>
        </w:rPr>
        <w:t>, så tildele</w:t>
      </w:r>
      <w:r w:rsidR="00201CBD">
        <w:rPr>
          <w:rFonts w:ascii="Verdana" w:hAnsi="Verdana"/>
          <w:sz w:val="20"/>
          <w:szCs w:val="20"/>
        </w:rPr>
        <w:t>r du</w:t>
      </w:r>
      <w:r>
        <w:rPr>
          <w:rFonts w:ascii="Verdana" w:hAnsi="Verdana"/>
          <w:sz w:val="20"/>
          <w:szCs w:val="20"/>
        </w:rPr>
        <w:t xml:space="preserve"> borger</w:t>
      </w:r>
      <w:r w:rsidR="00201CBD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planlægningsindsatsen ”</w:t>
      </w:r>
      <w:r w:rsidR="00201CBD">
        <w:rPr>
          <w:rFonts w:ascii="Verdana" w:hAnsi="Verdana"/>
          <w:sz w:val="20"/>
          <w:szCs w:val="20"/>
        </w:rPr>
        <w:t>Digitalt Sundhedscenter</w:t>
      </w:r>
      <w:r>
        <w:rPr>
          <w:rFonts w:ascii="Verdana" w:hAnsi="Verdana"/>
          <w:sz w:val="20"/>
          <w:szCs w:val="20"/>
        </w:rPr>
        <w:t>, Opstart”.</w:t>
      </w:r>
    </w:p>
    <w:p w14:paraId="4B6633C7" w14:textId="0AD1123D" w:rsidR="00D915D8" w:rsidRDefault="00D915D8" w:rsidP="00D915D8">
      <w:pPr>
        <w:pStyle w:val="Listeafsni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det til denne opstart viser sig, at borger</w:t>
      </w:r>
      <w:r w:rsidR="00201CBD">
        <w:rPr>
          <w:rFonts w:ascii="Verdana" w:hAnsi="Verdana"/>
          <w:sz w:val="20"/>
          <w:szCs w:val="20"/>
        </w:rPr>
        <w:t xml:space="preserve"> har brug for yderligere introduktion eller understøttelse så vælger du ”Digitalt Sundhedscenter, Individuelt/opfølgning”.</w:t>
      </w:r>
    </w:p>
    <w:p w14:paraId="28F1F0EF" w14:textId="77777777" w:rsidR="00D915D8" w:rsidRPr="00D915D8" w:rsidRDefault="00D915D8" w:rsidP="00D915D8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F59E777" w14:textId="58684365" w:rsidR="003A361A" w:rsidRPr="003A361A" w:rsidRDefault="003A361A" w:rsidP="003A361A">
      <w:pPr>
        <w:spacing w:after="240"/>
        <w:rPr>
          <w:rFonts w:ascii="Verdana" w:hAnsi="Verdana"/>
          <w:sz w:val="20"/>
          <w:szCs w:val="20"/>
        </w:rPr>
      </w:pPr>
    </w:p>
    <w:p w14:paraId="6DF5F387" w14:textId="77777777" w:rsidR="00311402" w:rsidRPr="00311402" w:rsidRDefault="00311402" w:rsidP="00311402">
      <w:pPr>
        <w:spacing w:after="0"/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</w:pPr>
    </w:p>
    <w:p w14:paraId="56D1B7F0" w14:textId="03C10C22" w:rsidR="00484865" w:rsidRPr="00484865" w:rsidRDefault="00484865" w:rsidP="00484865">
      <w:pPr>
        <w:rPr>
          <w:rFonts w:ascii="Verdana" w:hAnsi="Verdana"/>
          <w:b/>
          <w:bCs/>
        </w:rPr>
      </w:pPr>
    </w:p>
    <w:sectPr w:rsidR="00484865" w:rsidRPr="00484865" w:rsidSect="0031140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FFF1" w14:textId="77777777" w:rsidR="00311402" w:rsidRDefault="00311402" w:rsidP="00311402">
      <w:pPr>
        <w:spacing w:after="0" w:line="240" w:lineRule="auto"/>
      </w:pPr>
      <w:r>
        <w:separator/>
      </w:r>
    </w:p>
  </w:endnote>
  <w:endnote w:type="continuationSeparator" w:id="0">
    <w:p w14:paraId="11A0CD46" w14:textId="77777777" w:rsidR="00311402" w:rsidRDefault="00311402" w:rsidP="003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183B" w14:textId="305FBCE2" w:rsidR="00311402" w:rsidRDefault="00311402" w:rsidP="00AA7527">
    <w:pPr>
      <w:pStyle w:val="Sidefod"/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2DA68E46" w14:textId="10C18F38" w:rsidR="00311402" w:rsidRDefault="00311402" w:rsidP="003114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DA36" w14:textId="77777777" w:rsidR="00311402" w:rsidRDefault="00311402" w:rsidP="00311402">
      <w:pPr>
        <w:spacing w:after="0" w:line="240" w:lineRule="auto"/>
      </w:pPr>
      <w:r>
        <w:separator/>
      </w:r>
    </w:p>
  </w:footnote>
  <w:footnote w:type="continuationSeparator" w:id="0">
    <w:p w14:paraId="53DCAB75" w14:textId="77777777" w:rsidR="00311402" w:rsidRDefault="00311402" w:rsidP="003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5FBC" w14:textId="5E6B909A" w:rsidR="00311402" w:rsidRDefault="00DF256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73BFC" wp14:editId="79541863">
          <wp:simplePos x="0" y="0"/>
          <wp:positionH relativeFrom="margin">
            <wp:align>left</wp:align>
          </wp:positionH>
          <wp:positionV relativeFrom="paragraph">
            <wp:posOffset>-169447</wp:posOffset>
          </wp:positionV>
          <wp:extent cx="1638886" cy="439412"/>
          <wp:effectExtent l="0" t="0" r="0" b="0"/>
          <wp:wrapNone/>
          <wp:docPr id="2" name="Billede 2" descr="Et billede, der indeholder tekst, elektron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elektron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886" cy="43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C6B"/>
    <w:multiLevelType w:val="hybridMultilevel"/>
    <w:tmpl w:val="E22A1492"/>
    <w:lvl w:ilvl="0" w:tplc="8A82378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923"/>
    <w:multiLevelType w:val="hybridMultilevel"/>
    <w:tmpl w:val="63D43636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365"/>
    <w:multiLevelType w:val="hybridMultilevel"/>
    <w:tmpl w:val="22BE2BF8"/>
    <w:lvl w:ilvl="0" w:tplc="4D24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6033"/>
    <w:multiLevelType w:val="hybridMultilevel"/>
    <w:tmpl w:val="DDE65C0A"/>
    <w:lvl w:ilvl="0" w:tplc="5B7E5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0A86"/>
    <w:multiLevelType w:val="hybridMultilevel"/>
    <w:tmpl w:val="160E7FEA"/>
    <w:lvl w:ilvl="0" w:tplc="1896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09E"/>
    <w:multiLevelType w:val="hybridMultilevel"/>
    <w:tmpl w:val="C3BC8536"/>
    <w:lvl w:ilvl="0" w:tplc="698A6D8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46C"/>
    <w:multiLevelType w:val="hybridMultilevel"/>
    <w:tmpl w:val="81F4FAB0"/>
    <w:lvl w:ilvl="0" w:tplc="B6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C6B3C"/>
    <w:multiLevelType w:val="hybridMultilevel"/>
    <w:tmpl w:val="FDDC988A"/>
    <w:lvl w:ilvl="0" w:tplc="80F6C56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2D88"/>
    <w:multiLevelType w:val="hybridMultilevel"/>
    <w:tmpl w:val="D8D4F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09439">
    <w:abstractNumId w:val="3"/>
  </w:num>
  <w:num w:numId="2" w16cid:durableId="456678915">
    <w:abstractNumId w:val="6"/>
  </w:num>
  <w:num w:numId="3" w16cid:durableId="568197316">
    <w:abstractNumId w:val="2"/>
  </w:num>
  <w:num w:numId="4" w16cid:durableId="2143887325">
    <w:abstractNumId w:val="5"/>
  </w:num>
  <w:num w:numId="5" w16cid:durableId="1439176156">
    <w:abstractNumId w:val="8"/>
  </w:num>
  <w:num w:numId="6" w16cid:durableId="656037044">
    <w:abstractNumId w:val="1"/>
  </w:num>
  <w:num w:numId="7" w16cid:durableId="406000487">
    <w:abstractNumId w:val="4"/>
  </w:num>
  <w:num w:numId="8" w16cid:durableId="1492989683">
    <w:abstractNumId w:val="7"/>
  </w:num>
  <w:num w:numId="9" w16cid:durableId="9069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2"/>
    <w:rsid w:val="00121EBF"/>
    <w:rsid w:val="00160E26"/>
    <w:rsid w:val="00201CBD"/>
    <w:rsid w:val="00247922"/>
    <w:rsid w:val="00311402"/>
    <w:rsid w:val="003A361A"/>
    <w:rsid w:val="003E485D"/>
    <w:rsid w:val="003E63E4"/>
    <w:rsid w:val="00484865"/>
    <w:rsid w:val="0050752F"/>
    <w:rsid w:val="00561339"/>
    <w:rsid w:val="00573BCE"/>
    <w:rsid w:val="006C2FFD"/>
    <w:rsid w:val="007345AF"/>
    <w:rsid w:val="007A63A4"/>
    <w:rsid w:val="007A770A"/>
    <w:rsid w:val="0091084B"/>
    <w:rsid w:val="00AA7527"/>
    <w:rsid w:val="00B307C1"/>
    <w:rsid w:val="00B542F5"/>
    <w:rsid w:val="00B659F3"/>
    <w:rsid w:val="00CD482B"/>
    <w:rsid w:val="00D915D8"/>
    <w:rsid w:val="00DF256C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29A62"/>
  <w15:chartTrackingRefBased/>
  <w15:docId w15:val="{801DB2C7-27B8-4C43-82E3-C509D44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402"/>
  </w:style>
  <w:style w:type="paragraph" w:styleId="Sidefod">
    <w:name w:val="footer"/>
    <w:basedOn w:val="Normal"/>
    <w:link w:val="SidefodTegn"/>
    <w:uiPriority w:val="99"/>
    <w:unhideWhenUsed/>
    <w:rsid w:val="003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402"/>
  </w:style>
  <w:style w:type="paragraph" w:styleId="Listeafsnit">
    <w:name w:val="List Paragraph"/>
    <w:basedOn w:val="Normal"/>
    <w:uiPriority w:val="34"/>
    <w:qFormat/>
    <w:rsid w:val="0048486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84865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7A6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semiHidden/>
    <w:unhideWhenUsed/>
    <w:rsid w:val="006C2F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2FFFE2-18D2-48BE-8B2D-5375850B0A80}">
  <we:reference id="wa104382081" version="1.35.0.0" store="da-DK" storeType="OMEX"/>
  <we:alternateReferences>
    <we:reference id="wa104382081" version="1.35.0.0" store="" storeType="OMEX"/>
  </we:alternateReferences>
  <we:properties>
    <we:property name="MENDELEY_CITATIONS" value="[{&quot;citationID&quot;:&quot;MENDELEY_CITATION_16003ce6-9bcd-40f0-9bc8-3395c6b899fb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TYwMDNjZTYtOWJjZC00MGYwLTliYzgtMzM5NWM2Yjg5OWZi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25b5cc80-5806-4c3f-8514-25b0c60bd9c3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MjViNWNjODAtNTgwNi00YzNmLTg1MTQtMjViMGM2MGJkOWMz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b5d6712e-4381-40b7-8e50-85d2f2e12391&quot;,&quot;citationItems&quot;:[{&quot;id&quot;:&quot;506a3997-16c1-3e33-8112-3602bfc76a73&quot;,&quot;itemData&quot;:{&quot;type&quot;:&quot;report&quot;,&quot;id&quot;:&quot;506a3997-16c1-3e33-8112-3602bfc76a73&quot;,&quot;title&quot;:&quot;National klinisk retningslinje for non-farmakologisk behnadling af unipolar depression 2016&quot;,&quot;author&quot;:[{&quot;family&quot;:&quot;Sundhedsstyrelsen&quot;,&quot;given&quot;:&quot;&quot;,&quot;parse-names&quot;:false,&quot;dropping-particle&quot;:&quot;&quot;,&quot;non-dropping-particle&quot;:&quot;&quot;}],&quot;issued&quot;:{&quot;date-parts&quot;:[[2016,5,27]]},&quot;publisher-place&quot;:&quot;København S&quot;,&quot;number-of-pages&quot;:&quot;1-82&quot;},&quot;isTemporary&quot;:false}],&quot;properties&quot;:{&quot;noteIndex&quot;:0},&quot;isEdited&quot;:false,&quot;manualOverride&quot;:{&quot;isManuallyOverridden&quot;:true,&quot;citeprocText&quot;:&quot;(Sundhedsstyrelsen, 2016)&quot;,&quot;manualOverrideText&quot;:&quot; (Sundhedsstyrelsen, 2016 s. 13-14)&quot;},&quot;citationTag&quot;:&quot;MENDELEY_CITATION_v3_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&quot;},{&quot;citationID&quot;:&quot;MENDELEY_CITATION_54a63059-5ee4-4a07-85ed-42b74c25f41d&quot;,&quot;citationItems&quot;:[{&quot;id&quot;:&quot;b2111ce9-62d1-3bb2-8ef9-19360ebb84cc&quot;,&quot;itemData&quot;:{&quot;type&quot;:&quot;speech&quot;,&quot;id&quot;:&quot;b2111ce9-62d1-3bb2-8ef9-19360ebb84cc&quot;,&quot;title&quot;:&quot;Holdningspapir om fysioterapi til personer med psykisk sygdom&quot;,&quot;author&quot;:[{&quot;family&quot;:&quot;Danske Fysioterapeuter&quot;,&quot;given&quot;:&quot;&quot;,&quot;parse-names&quot;:false,&quot;dropping-particle&quot;:&quot;&quot;,&quot;non-dropping-particle&quot;:&quot;&quot;}],&quot;issued&quot;:{&quot;date-parts&quot;:[[2011,4]]},&quot;publisher-place&quot;:&quot;København K&quot;,&quot;page&quot;:&quot;1-8&quot;,&quot;publisher&quot;:&quot;Danske Fysioterapeuter&quot;},&quot;isTemporary&quot;:false}],&quot;properties&quot;:{&quot;noteIndex&quot;:0},&quot;isEdited&quot;:false,&quot;manualOverride&quot;:{&quot;isManuallyOverridden&quot;:false,&quot;citeprocText&quot;:&quot;(Danske Fysioterapeuter, 2011)&quot;,&quot;manualOverrideText&quot;:&quot;&quot;},&quot;citationTag&quot;:&quot;MENDELEY_CITATION_v3_eyJjaXRhdGlvbklEIjoiTUVOREVMRVlfQ0lUQVRJT05fNTRhNjMwNTktNWVlNC00YTA3LTg1ZWQtNDJiNzRjMjVmNDFk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==&quot;},{&quot;citationID&quot;:&quot;MENDELEY_CITATION_ee341b3f-cc7d-4dc5-a00f-2ee872510d8c&quot;,&quot;citationItems&quot;:[{&quot;id&quot;:&quot;37a9593f-02c5-30d4-b095-e2f06179cc39&quot;,&quot;itemData&quot;:{&quot;type&quot;:&quot;report&quot;,&quot;id&quot;:&quot;37a9593f-02c5-30d4-b095-e2f06179cc39&quot;,&quot;title&quot;:&quot;National klinisk retninglinje for behandling af angstlidelser hos voksne - Quick guide.&quot;,&quot;issued&quot;:{&quot;date-parts&quot;:[[2021,3]]},&quot;publisher-place&quot;:&quot;København S&quot;,&quot;number-of-pages&quot;:&quot;1-5&quot;},&quot;isTemporary&quot;:false}],&quot;properties&quot;:{&quot;noteIndex&quot;:0},&quot;isEdited&quot;:false,&quot;manualOverride&quot;:{&quot;isManuallyOverridden&quot;:false,&quot;citeprocText&quot;:&quot;(&lt;i&gt;National Klinisk Retninglinje for Behandling Af Angstlidelser Hos Voksne - Quick Guide.&lt;/i&gt;, 2021)&quot;,&quot;manualOverrideText&quot;:&quot;&quot;},&quot;citationTag&quot;:&quot;MENDELEY_CITATION_v3_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&quot;}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54AB-DB60-4934-B592-4A44ECF2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2024-01-11T14:25:00Z</dcterms:created>
  <dcterms:modified xsi:type="dcterms:W3CDTF">2024-01-11T14:25:00Z</dcterms:modified>
</cp:coreProperties>
</file>